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89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附件5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 w14:paraId="09642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2025未来创造者工程盲盒挑战活动工程搭建（线下）活动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公益队伍限额交通补贴说明</w:t>
      </w:r>
    </w:p>
    <w:p w14:paraId="25777DD3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湖南省内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28"/>
          <w:szCs w:val="28"/>
        </w:rPr>
        <w:t>队伍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往返交通费用原则上补贴150元/人，队员仅为报名表及回执表上队员相同核实为准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27B7B942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湖南省外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除东北三省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28"/>
          <w:szCs w:val="28"/>
        </w:rPr>
        <w:t>队伍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往返交通费用原则上补贴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00元/人，队员仅为报名表及回执表上队员相同核实为准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499FCC9A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三、东北三省活动</w:t>
      </w:r>
      <w:r>
        <w:rPr>
          <w:rFonts w:hint="eastAsia" w:ascii="仿宋_GB2312" w:hAnsi="仿宋_GB2312" w:eastAsia="仿宋_GB2312" w:cs="仿宋_GB2312"/>
          <w:sz w:val="28"/>
          <w:szCs w:val="28"/>
        </w:rPr>
        <w:t>队伍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往返交通费用原则上补贴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00元/人，队员仅为报名表及回执表上队员相同核实为准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2A3B2E0F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超出补贴部分需由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参与</w:t>
      </w:r>
      <w:r>
        <w:rPr>
          <w:rFonts w:hint="eastAsia" w:ascii="仿宋_GB2312" w:hAnsi="仿宋_GB2312" w:eastAsia="仿宋_GB2312" w:cs="仿宋_GB2312"/>
          <w:sz w:val="28"/>
          <w:szCs w:val="28"/>
        </w:rPr>
        <w:t>队伍自行承担。</w:t>
      </w:r>
    </w:p>
    <w:p w14:paraId="41B49F19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根据管理规范，报销范围严格限定于城市间长途公共交通工具，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优先高铁出行。</w:t>
      </w:r>
      <w:r>
        <w:rPr>
          <w:rFonts w:hint="eastAsia" w:ascii="仿宋_GB2312" w:hAnsi="仿宋_GB2312" w:eastAsia="仿宋_GB2312" w:cs="仿宋_GB2312"/>
          <w:sz w:val="28"/>
          <w:szCs w:val="28"/>
        </w:rPr>
        <w:t>具体说明如下：</w:t>
      </w:r>
    </w:p>
    <w:p w14:paraId="0C795A62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明确支持报销的交通方式</w:t>
      </w:r>
    </w:p>
    <w:p w14:paraId="3B2C3603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铁路交通：火车、高铁/动车</w:t>
      </w:r>
    </w:p>
    <w:p w14:paraId="6CCFA34B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航空交通：国内/国际航班经济舱，需提供航空运输电子发票（清晰标注行程）</w:t>
      </w:r>
    </w:p>
    <w:p w14:paraId="0B61B47E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长途客运：省际/市际长途汽车票（需显示起终点及票价）</w:t>
      </w:r>
    </w:p>
    <w:p w14:paraId="58895E70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明确不予报销的交通方式</w:t>
      </w:r>
    </w:p>
    <w:p w14:paraId="35D516C3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市内交通：出租车、网约车（含顺风车）、地铁/公交等城市内短途出行费用。</w:t>
      </w:r>
    </w:p>
    <w:p w14:paraId="4C4E8037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自驾相关：私家车油费、过路费、停车费、车辆折旧费（即使标注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的加油票也不予报销）。</w:t>
      </w:r>
    </w:p>
    <w:p w14:paraId="176BD10F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其他非标交通：摩托车、三轮车、非法营运车辆等。</w:t>
      </w:r>
    </w:p>
    <w:p w14:paraId="36E29DDB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28"/>
          <w:szCs w:val="28"/>
        </w:rPr>
        <w:t>报销执行要点说明</w:t>
      </w:r>
    </w:p>
    <w:p w14:paraId="3175CB74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1.票据合规性：必须提供带有税务监制章的正规发票。</w:t>
      </w:r>
    </w:p>
    <w:p w14:paraId="31A20B1D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2.行程匹配性：交通票据日期需与活动的起止时间完全对应，跨天行程需分段说明。</w:t>
      </w:r>
    </w:p>
    <w:p w14:paraId="56C5A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请各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队伍在活动结束后，按要求提交活动周期内产生的合规交通票据作为报销依据。未提供合规票据或超出补贴标准的费用，将不予报销。</w:t>
      </w:r>
    </w:p>
    <w:p w14:paraId="619549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D1F4D"/>
    <w:rsid w:val="4C7D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2026-01-09T11:31:00Z</dcterms:created>
  <dc:creator>沅有芷</dc:creator>
  <cp:lastModifiedBy>沅有芷</cp:lastModifiedBy>
  <dcterms:modified xsi:type="dcterms:W3CDTF">2026-01-09T11:31:55Z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4D0545EE1DFA4BA6B051D4D88675EF44_11</vt:lpwstr>
  </property>
  <property fmtid="{D5CDD505-2E9C-101B-9397-08002B2CF9AE}" pid="4" name="KSOTemplateDocerSaveRecord">
    <vt:lpwstr>eyJoZGlkIjoiNTU0ZmIwYTQ3NzlmZGUxZmU3Zjk0M2IyZTNmM2IxNjAiLCJ1c2VySWQiOiIzOTEzOTkzMTEifQ==</vt:lpwstr>
  </property>
</Properties>
</file>